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8" w:afterLines="100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2018年度高等教育科学研究专项</w:t>
      </w:r>
      <w:r>
        <w:rPr>
          <w:rFonts w:hint="eastAsia" w:eastAsia="方正小标宋简体" w:cs="Times New Roman"/>
          <w:bCs/>
          <w:sz w:val="36"/>
          <w:szCs w:val="36"/>
          <w:lang w:eastAsia="zh-CN"/>
        </w:rPr>
        <w:t>中期检查名单</w:t>
      </w:r>
    </w:p>
    <w:tbl>
      <w:tblPr>
        <w:tblStyle w:val="2"/>
        <w:tblW w:w="9369" w:type="dxa"/>
        <w:jc w:val="center"/>
        <w:tblInd w:w="-19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70"/>
        <w:gridCol w:w="5025"/>
        <w:gridCol w:w="955"/>
        <w:gridCol w:w="15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/>
              </w:rPr>
              <w:t>负责人所在单位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中外合作办学模式比较研究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程  洁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发展规划处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GJ18ZA02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多学科交叉的国际化专业链群建设探索与实践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  蕾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安德学院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GJ18ZA03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人才培养模式探索与实践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熊仲明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安德学院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探索大学生创新创业能力培养路径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熊仲明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安德学院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探索专业人才培养质量标准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张恩茹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师资队伍建设研究</w:t>
            </w:r>
            <w:bookmarkStart w:id="0" w:name="_GoBack"/>
            <w:bookmarkEnd w:id="0"/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蔡冬冬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高教研究所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GJ18ZA0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学生党建与思政教育工作创新研究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刘言正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安德学院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GJ18ZG01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“一带一路”背景下校企合作国际学生“订单式”培养模式研究—以土建类专业为例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  宇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国际教育学院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环境科学与工程学科社会声誉现状分析及提升策略研究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任勇翔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环境学院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GJ18ZX02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基于学科内涵发展的管理学院学科队伍建设研究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王成军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管理学院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GJ18ZX03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建设设计学一流学科的对标分析和发展路径研究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蔺宝钢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艺术学院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GJ18ZX04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体育学院学科科研团队建设研究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由文华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体育学院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GJ18ZX05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构建以学科建设为核心的教师岗位设置与分类管理考核制度研究--以理学院为例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王旭东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理学院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GJ18ZX06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“双一流”背景下我校马克思主义理论学科队伍建设研究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张宏程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GJ18ZX07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新工科背景下，陕西省“一流专业”建设路径研究—以建筑电气与智能化为例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于军琪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信控学院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662A1"/>
    <w:rsid w:val="74F82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2019-05-06T01:36:18Z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